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F579" w14:textId="7AE9240F" w:rsidR="00C150F0" w:rsidRDefault="00B368F7">
      <w:pPr>
        <w:spacing w:line="259" w:lineRule="auto"/>
        <w:ind w:left="0" w:right="3474" w:firstLine="0"/>
        <w:jc w:val="right"/>
      </w:pPr>
      <w:r>
        <w:rPr>
          <w:noProof/>
          <w:lang w:val="en-US" w:eastAsia="zh-CN"/>
        </w:rPr>
        <w:drawing>
          <wp:inline distT="0" distB="0" distL="0" distR="0" wp14:anchorId="63C041FF" wp14:editId="61B0BFAE">
            <wp:extent cx="1457325" cy="84264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5623EC29" w14:textId="77777777" w:rsidR="00C150F0" w:rsidRDefault="00B368F7">
      <w:pPr>
        <w:spacing w:line="259" w:lineRule="auto"/>
        <w:ind w:left="478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B27CC7E" w14:textId="18E4AC7D" w:rsidR="00B368F7" w:rsidRPr="00A303BB" w:rsidRDefault="00EA06B5" w:rsidP="00B368F7">
      <w:pPr>
        <w:spacing w:after="166" w:line="259" w:lineRule="auto"/>
        <w:ind w:left="0" w:right="0" w:firstLine="0"/>
        <w:jc w:val="center"/>
        <w:rPr>
          <w:rFonts w:ascii="Calligraph810 BT" w:eastAsia="Calligraph810 BT" w:hAnsi="Calligraph810 BT" w:cs="Calligraph810 BT"/>
          <w:sz w:val="22"/>
          <w:szCs w:val="20"/>
        </w:rPr>
      </w:pPr>
      <w:r w:rsidRPr="00A303BB">
        <w:rPr>
          <w:noProof/>
          <w:sz w:val="22"/>
          <w:szCs w:val="20"/>
          <w:lang w:val="en-US" w:eastAsia="zh-CN"/>
        </w:rPr>
        <w:drawing>
          <wp:anchor distT="0" distB="0" distL="114300" distR="114300" simplePos="0" relativeHeight="251665408" behindDoc="0" locked="0" layoutInCell="1" allowOverlap="1" wp14:anchorId="54B67391" wp14:editId="767C5717">
            <wp:simplePos x="0" y="0"/>
            <wp:positionH relativeFrom="column">
              <wp:posOffset>4471508</wp:posOffset>
            </wp:positionH>
            <wp:positionV relativeFrom="paragraph">
              <wp:posOffset>232646</wp:posOffset>
            </wp:positionV>
            <wp:extent cx="2387637" cy="7687472"/>
            <wp:effectExtent l="0" t="0" r="0" b="8890"/>
            <wp:wrapNone/>
            <wp:docPr id="1" name="Picture 1" descr="\\HOLLICK-NAS\Data\MARKETING\Tasting Notes &amp; Reviews\RSB\14RSB\14RSB Pictures\Hollick The Nectar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LLICK-NAS\Data\MARKETING\Tasting Notes &amp; Reviews\RSB\14RSB\14RSB Pictures\Hollick The Nectar副本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37" cy="76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8F7" w:rsidRPr="00A303BB">
        <w:rPr>
          <w:rFonts w:ascii="Calligraph810 BT" w:eastAsia="Calligraph810 BT" w:hAnsi="Calligraph810 BT" w:cs="Calligraph810 BT"/>
          <w:color w:val="CC9900"/>
          <w:sz w:val="30"/>
          <w:szCs w:val="20"/>
        </w:rPr>
        <w:t>201</w:t>
      </w:r>
      <w:r w:rsidR="00A417C2" w:rsidRPr="00A303BB">
        <w:rPr>
          <w:rFonts w:ascii="Calligraph810 BT" w:eastAsia="Calligraph810 BT" w:hAnsi="Calligraph810 BT" w:cs="Calligraph810 BT"/>
          <w:color w:val="CC9900"/>
          <w:sz w:val="30"/>
          <w:szCs w:val="20"/>
        </w:rPr>
        <w:t>7</w:t>
      </w:r>
      <w:r w:rsidR="00B368F7" w:rsidRPr="00A303BB">
        <w:rPr>
          <w:rFonts w:ascii="Calligraph810 BT" w:eastAsia="Calligraph810 BT" w:hAnsi="Calligraph810 BT" w:cs="Calligraph810 BT"/>
          <w:color w:val="CC9900"/>
          <w:szCs w:val="20"/>
        </w:rPr>
        <w:t xml:space="preserve"> </w:t>
      </w:r>
      <w:r w:rsidR="00B368F7" w:rsidRPr="00A303BB">
        <w:rPr>
          <w:rFonts w:ascii="Calligraph810 BT" w:eastAsia="Calligraph810 BT" w:hAnsi="Calligraph810 BT" w:cs="Calligraph810 BT"/>
          <w:color w:val="CC9900"/>
          <w:sz w:val="30"/>
          <w:szCs w:val="20"/>
        </w:rPr>
        <w:t>‘T</w:t>
      </w:r>
      <w:r w:rsidR="00B368F7" w:rsidRPr="00A303BB">
        <w:rPr>
          <w:rFonts w:ascii="Calligraph810 BT" w:eastAsia="Calligraph810 BT" w:hAnsi="Calligraph810 BT" w:cs="Calligraph810 BT"/>
          <w:color w:val="CC9900"/>
          <w:szCs w:val="20"/>
        </w:rPr>
        <w:t xml:space="preserve">HE </w:t>
      </w:r>
      <w:r w:rsidR="00B368F7" w:rsidRPr="00A303BB">
        <w:rPr>
          <w:rFonts w:ascii="Calligraph810 BT" w:eastAsia="Calligraph810 BT" w:hAnsi="Calligraph810 BT" w:cs="Calligraph810 BT"/>
          <w:color w:val="CC9900"/>
          <w:sz w:val="30"/>
          <w:szCs w:val="20"/>
        </w:rPr>
        <w:t>N</w:t>
      </w:r>
      <w:r w:rsidR="00B368F7" w:rsidRPr="00A303BB">
        <w:rPr>
          <w:rFonts w:ascii="Calligraph810 BT" w:eastAsia="Calligraph810 BT" w:hAnsi="Calligraph810 BT" w:cs="Calligraph810 BT"/>
          <w:color w:val="CC9900"/>
          <w:szCs w:val="20"/>
        </w:rPr>
        <w:t>ECTAR</w:t>
      </w:r>
      <w:r w:rsidR="00B368F7" w:rsidRPr="00A303BB">
        <w:rPr>
          <w:rFonts w:ascii="Calligraph810 BT" w:eastAsia="Calligraph810 BT" w:hAnsi="Calligraph810 BT" w:cs="Calligraph810 BT"/>
          <w:color w:val="CC9900"/>
          <w:sz w:val="30"/>
          <w:szCs w:val="20"/>
        </w:rPr>
        <w:t>’</w:t>
      </w:r>
    </w:p>
    <w:p w14:paraId="00DCD153" w14:textId="77777777" w:rsidR="00EA06B5" w:rsidRPr="00A303BB" w:rsidRDefault="00B368F7" w:rsidP="00EA06B5">
      <w:pPr>
        <w:spacing w:line="276" w:lineRule="auto"/>
        <w:ind w:left="0" w:right="2834" w:firstLine="0"/>
        <w:rPr>
          <w:rFonts w:cs="Arial"/>
          <w:color w:val="auto"/>
          <w:sz w:val="22"/>
          <w:shd w:val="clear" w:color="auto" w:fill="FFFFFF"/>
        </w:rPr>
      </w:pPr>
      <w:r w:rsidRPr="00A303BB">
        <w:rPr>
          <w:sz w:val="22"/>
          <w:szCs w:val="20"/>
        </w:rPr>
        <w:t xml:space="preserve">It is said that the gloriously sweet, concentrated wines that result from grapes infected by Noble Rot (Botrytis Cinerea) are indeed ‘The Nectar of the Gods’. </w:t>
      </w:r>
      <w:r w:rsidR="00701D69" w:rsidRPr="00A303BB">
        <w:rPr>
          <w:sz w:val="22"/>
          <w:szCs w:val="20"/>
        </w:rPr>
        <w:t xml:space="preserve">Riesling is the preferred variety for sweet botrytised wines because it </w:t>
      </w:r>
      <w:r w:rsidR="00701D69" w:rsidRPr="00A303BB">
        <w:rPr>
          <w:rFonts w:cs="Arial"/>
          <w:color w:val="auto"/>
          <w:sz w:val="22"/>
          <w:shd w:val="clear" w:color="auto" w:fill="FFFFFF"/>
        </w:rPr>
        <w:t>retains significant acidity even with the extreme</w:t>
      </w:r>
      <w:r w:rsidR="00701D69" w:rsidRPr="00A303BB">
        <w:rPr>
          <w:rStyle w:val="apple-converted-space"/>
          <w:rFonts w:cs="Arial"/>
          <w:color w:val="auto"/>
          <w:sz w:val="22"/>
          <w:shd w:val="clear" w:color="auto" w:fill="FFFFFF"/>
        </w:rPr>
        <w:t> </w:t>
      </w:r>
      <w:hyperlink r:id="rId6" w:tooltip="Ripeness (wine)" w:history="1">
        <w:r w:rsidR="00701D69" w:rsidRPr="00A303BB">
          <w:rPr>
            <w:rStyle w:val="Hyperlink"/>
            <w:rFonts w:cs="Arial"/>
            <w:color w:val="auto"/>
            <w:sz w:val="22"/>
            <w:u w:val="none"/>
            <w:shd w:val="clear" w:color="auto" w:fill="FFFFFF"/>
          </w:rPr>
          <w:t>ripeness</w:t>
        </w:r>
      </w:hyperlink>
      <w:r w:rsidR="00701D69" w:rsidRPr="00A303BB">
        <w:rPr>
          <w:rFonts w:cs="Arial"/>
          <w:color w:val="auto"/>
          <w:sz w:val="22"/>
          <w:shd w:val="clear" w:color="auto" w:fill="FFFFFF"/>
        </w:rPr>
        <w:t>. This is a wine style which has great</w:t>
      </w:r>
      <w:r w:rsidR="00701D69" w:rsidRPr="00A303BB">
        <w:rPr>
          <w:rStyle w:val="apple-converted-space"/>
          <w:rFonts w:cs="Arial"/>
          <w:color w:val="auto"/>
          <w:sz w:val="22"/>
          <w:shd w:val="clear" w:color="auto" w:fill="FFFFFF"/>
        </w:rPr>
        <w:t> </w:t>
      </w:r>
      <w:hyperlink r:id="rId7" w:tooltip="Longevity (wine)" w:history="1">
        <w:r w:rsidR="00701D69" w:rsidRPr="00A303BB">
          <w:rPr>
            <w:rStyle w:val="Hyperlink"/>
            <w:rFonts w:cs="Arial"/>
            <w:color w:val="auto"/>
            <w:sz w:val="22"/>
            <w:u w:val="none"/>
            <w:shd w:val="clear" w:color="auto" w:fill="FFFFFF"/>
          </w:rPr>
          <w:t>longevity</w:t>
        </w:r>
      </w:hyperlink>
      <w:r w:rsidR="00701D69" w:rsidRPr="00A303BB">
        <w:rPr>
          <w:rStyle w:val="apple-converted-space"/>
          <w:rFonts w:cs="Arial"/>
          <w:color w:val="auto"/>
          <w:sz w:val="22"/>
          <w:shd w:val="clear" w:color="auto" w:fill="FFFFFF"/>
        </w:rPr>
        <w:t> </w:t>
      </w:r>
      <w:r w:rsidR="00701D69" w:rsidRPr="00A303BB">
        <w:rPr>
          <w:rFonts w:cs="Arial"/>
          <w:color w:val="auto"/>
          <w:sz w:val="22"/>
          <w:shd w:val="clear" w:color="auto" w:fill="FFFFFF"/>
        </w:rPr>
        <w:t>and which will often improve for decades.</w:t>
      </w:r>
    </w:p>
    <w:p w14:paraId="3256FE92" w14:textId="77777777" w:rsidR="00701D69" w:rsidRPr="00A303BB" w:rsidRDefault="00701D69" w:rsidP="00EA06B5">
      <w:pPr>
        <w:spacing w:line="276" w:lineRule="auto"/>
        <w:ind w:left="0" w:right="2834" w:firstLine="0"/>
        <w:rPr>
          <w:sz w:val="22"/>
          <w:szCs w:val="20"/>
        </w:rPr>
      </w:pPr>
    </w:p>
    <w:p w14:paraId="4E710154" w14:textId="6EFF1267" w:rsidR="00B368F7" w:rsidRPr="00A303BB" w:rsidRDefault="00B368F7" w:rsidP="008B3FFB">
      <w:pPr>
        <w:tabs>
          <w:tab w:val="left" w:pos="6480"/>
          <w:tab w:val="left" w:pos="6663"/>
        </w:tabs>
        <w:ind w:right="2834"/>
        <w:rPr>
          <w:sz w:val="22"/>
          <w:szCs w:val="20"/>
        </w:rPr>
      </w:pPr>
      <w:r w:rsidRPr="00A303BB">
        <w:rPr>
          <w:sz w:val="22"/>
          <w:szCs w:val="20"/>
        </w:rPr>
        <w:t xml:space="preserve">The Nectar is made from Coonawarra Riesling from our Wilgha vineyard. </w:t>
      </w:r>
      <w:r w:rsidR="00F8730B" w:rsidRPr="00A303BB">
        <w:rPr>
          <w:sz w:val="22"/>
          <w:szCs w:val="20"/>
        </w:rPr>
        <w:t xml:space="preserve">A cold ‘Bonney Upwelling’ at the coast moderated temperatures from January onwards. February and March temperatures were mild, and the cold nights and warm days delivered an extended ripening period. </w:t>
      </w:r>
      <w:r w:rsidR="00FC6DE3" w:rsidRPr="00A303BB">
        <w:rPr>
          <w:sz w:val="22"/>
          <w:szCs w:val="20"/>
        </w:rPr>
        <w:t>This allowed the fruit to ripen and develop intense fruit flavours. Hanging on the vines until late in the season</w:t>
      </w:r>
      <w:r w:rsidR="000E0AD1" w:rsidRPr="00A303BB">
        <w:rPr>
          <w:sz w:val="22"/>
          <w:szCs w:val="20"/>
        </w:rPr>
        <w:t>,</w:t>
      </w:r>
      <w:r w:rsidR="00FC6DE3" w:rsidRPr="00A303BB">
        <w:rPr>
          <w:sz w:val="22"/>
          <w:szCs w:val="20"/>
        </w:rPr>
        <w:t xml:space="preserve"> the harvest was delayed until</w:t>
      </w:r>
      <w:r w:rsidR="000E0AD1" w:rsidRPr="00A303BB">
        <w:rPr>
          <w:sz w:val="22"/>
          <w:szCs w:val="20"/>
        </w:rPr>
        <w:t xml:space="preserve"> the botrytis had crept </w:t>
      </w:r>
      <w:r w:rsidRPr="00A303BB">
        <w:rPr>
          <w:sz w:val="22"/>
          <w:szCs w:val="20"/>
        </w:rPr>
        <w:t>its way throughout the entire vineyard</w:t>
      </w:r>
      <w:r w:rsidR="000E0AD1" w:rsidRPr="00A303BB">
        <w:rPr>
          <w:sz w:val="22"/>
          <w:szCs w:val="20"/>
        </w:rPr>
        <w:t>. S</w:t>
      </w:r>
      <w:r w:rsidRPr="00A303BB">
        <w:rPr>
          <w:sz w:val="22"/>
          <w:szCs w:val="20"/>
        </w:rPr>
        <w:t xml:space="preserve">lowly dehydrating the berries, it produced the concentrated, incredibly </w:t>
      </w:r>
      <w:proofErr w:type="gramStart"/>
      <w:r w:rsidRPr="00A303BB">
        <w:rPr>
          <w:sz w:val="22"/>
          <w:szCs w:val="20"/>
        </w:rPr>
        <w:t>sweet</w:t>
      </w:r>
      <w:proofErr w:type="gramEnd"/>
      <w:r w:rsidRPr="00A303BB">
        <w:rPr>
          <w:sz w:val="22"/>
          <w:szCs w:val="20"/>
        </w:rPr>
        <w:t xml:space="preserve"> and flavourful fruit required for making a wine of this style.</w:t>
      </w:r>
    </w:p>
    <w:p w14:paraId="604CD422" w14:textId="77777777" w:rsidR="00EA06B5" w:rsidRPr="00A303BB" w:rsidRDefault="00EA06B5" w:rsidP="00EA06B5">
      <w:pPr>
        <w:spacing w:line="276" w:lineRule="auto"/>
        <w:ind w:left="0" w:right="2834" w:firstLine="0"/>
        <w:rPr>
          <w:sz w:val="22"/>
          <w:szCs w:val="20"/>
        </w:rPr>
      </w:pPr>
    </w:p>
    <w:p w14:paraId="7E7311FC" w14:textId="595E65BE" w:rsidR="00B368F7" w:rsidRPr="00A303BB" w:rsidRDefault="00B368F7" w:rsidP="00EA06B5">
      <w:pPr>
        <w:spacing w:line="276" w:lineRule="auto"/>
        <w:ind w:left="0" w:right="2834" w:firstLine="0"/>
        <w:rPr>
          <w:sz w:val="22"/>
          <w:szCs w:val="20"/>
        </w:rPr>
      </w:pPr>
      <w:r w:rsidRPr="00A303BB">
        <w:rPr>
          <w:sz w:val="22"/>
          <w:szCs w:val="20"/>
        </w:rPr>
        <w:t xml:space="preserve">The fruit </w:t>
      </w:r>
      <w:r w:rsidR="00A417C2" w:rsidRPr="00A303BB">
        <w:rPr>
          <w:sz w:val="22"/>
          <w:szCs w:val="20"/>
        </w:rPr>
        <w:t xml:space="preserve">is </w:t>
      </w:r>
      <w:r w:rsidRPr="00A303BB">
        <w:rPr>
          <w:sz w:val="22"/>
          <w:szCs w:val="20"/>
        </w:rPr>
        <w:t xml:space="preserve">carefully selected to ensure the integrity of the wine. Gentle pressing and a long cool fermentation retained the vibrant freshness of flavours before the wine was clarified, </w:t>
      </w:r>
      <w:proofErr w:type="gramStart"/>
      <w:r w:rsidRPr="00A303BB">
        <w:rPr>
          <w:sz w:val="22"/>
          <w:szCs w:val="20"/>
        </w:rPr>
        <w:t>stabilised</w:t>
      </w:r>
      <w:proofErr w:type="gramEnd"/>
      <w:r w:rsidRPr="00A303BB">
        <w:rPr>
          <w:sz w:val="22"/>
          <w:szCs w:val="20"/>
        </w:rPr>
        <w:t xml:space="preserve"> and bottled.   </w:t>
      </w:r>
    </w:p>
    <w:tbl>
      <w:tblPr>
        <w:tblStyle w:val="TableGrid"/>
        <w:tblpPr w:vertAnchor="text" w:horzAnchor="margin" w:tblpY="170"/>
        <w:tblOverlap w:val="never"/>
        <w:tblW w:w="6946" w:type="dxa"/>
        <w:tblInd w:w="0" w:type="dxa"/>
        <w:tblCellMar>
          <w:top w:w="144" w:type="dxa"/>
          <w:right w:w="56" w:type="dxa"/>
        </w:tblCellMar>
        <w:tblLook w:val="04A0" w:firstRow="1" w:lastRow="0" w:firstColumn="1" w:lastColumn="0" w:noHBand="0" w:noVBand="1"/>
      </w:tblPr>
      <w:tblGrid>
        <w:gridCol w:w="2391"/>
        <w:gridCol w:w="4555"/>
      </w:tblGrid>
      <w:tr w:rsidR="00B368F7" w:rsidRPr="00A303BB" w14:paraId="1CC06DA8" w14:textId="77777777" w:rsidTr="00B368F7">
        <w:trPr>
          <w:trHeight w:val="272"/>
        </w:trPr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85F77F" w14:textId="77777777" w:rsidR="00B368F7" w:rsidRPr="00A303BB" w:rsidRDefault="00B368F7" w:rsidP="00B368F7">
            <w:pPr>
              <w:ind w:left="122" w:right="0" w:firstLine="0"/>
              <w:jc w:val="left"/>
              <w:rPr>
                <w:sz w:val="22"/>
                <w:szCs w:val="20"/>
              </w:rPr>
            </w:pPr>
            <w:r w:rsidRPr="00A303BB">
              <w:rPr>
                <w:sz w:val="20"/>
                <w:szCs w:val="20"/>
              </w:rPr>
              <w:t xml:space="preserve">Region </w:t>
            </w:r>
          </w:p>
        </w:tc>
        <w:tc>
          <w:tcPr>
            <w:tcW w:w="4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747BDB" w14:textId="77777777" w:rsidR="00B368F7" w:rsidRPr="00A303BB" w:rsidRDefault="00B368F7" w:rsidP="00B368F7">
            <w:pPr>
              <w:ind w:left="0" w:right="0" w:firstLine="0"/>
              <w:jc w:val="left"/>
              <w:rPr>
                <w:sz w:val="22"/>
                <w:szCs w:val="20"/>
              </w:rPr>
            </w:pPr>
            <w:r w:rsidRPr="00A303BB">
              <w:rPr>
                <w:sz w:val="20"/>
                <w:szCs w:val="20"/>
              </w:rPr>
              <w:t xml:space="preserve">Coonawarra  </w:t>
            </w:r>
          </w:p>
        </w:tc>
      </w:tr>
      <w:tr w:rsidR="00B368F7" w:rsidRPr="00A303BB" w14:paraId="463D33B4" w14:textId="77777777" w:rsidTr="00B368F7">
        <w:trPr>
          <w:trHeight w:val="278"/>
        </w:trPr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3B8B7E" w14:textId="77777777" w:rsidR="00B368F7" w:rsidRPr="00A303BB" w:rsidRDefault="00B368F7" w:rsidP="00B368F7">
            <w:pPr>
              <w:ind w:left="122" w:right="0" w:firstLine="0"/>
              <w:jc w:val="left"/>
              <w:rPr>
                <w:sz w:val="22"/>
                <w:szCs w:val="20"/>
              </w:rPr>
            </w:pPr>
            <w:r w:rsidRPr="00A303BB">
              <w:rPr>
                <w:sz w:val="20"/>
                <w:szCs w:val="20"/>
              </w:rPr>
              <w:t xml:space="preserve">Appearance </w:t>
            </w:r>
          </w:p>
        </w:tc>
        <w:tc>
          <w:tcPr>
            <w:tcW w:w="4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6322DD" w14:textId="77777777" w:rsidR="00B368F7" w:rsidRPr="00A303BB" w:rsidRDefault="00B368F7" w:rsidP="00B368F7">
            <w:pPr>
              <w:ind w:left="0" w:right="0" w:firstLine="0"/>
              <w:jc w:val="left"/>
              <w:rPr>
                <w:sz w:val="22"/>
                <w:szCs w:val="20"/>
              </w:rPr>
            </w:pPr>
            <w:r w:rsidRPr="00A303BB">
              <w:rPr>
                <w:sz w:val="20"/>
                <w:szCs w:val="20"/>
              </w:rPr>
              <w:t xml:space="preserve">Golden straw </w:t>
            </w:r>
          </w:p>
        </w:tc>
      </w:tr>
      <w:tr w:rsidR="00B368F7" w:rsidRPr="00A303BB" w14:paraId="12E1A3E8" w14:textId="77777777" w:rsidTr="00B368F7">
        <w:trPr>
          <w:trHeight w:val="270"/>
        </w:trPr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F55BCE" w14:textId="77777777" w:rsidR="00B368F7" w:rsidRPr="00A303BB" w:rsidRDefault="00B368F7" w:rsidP="00B368F7">
            <w:pPr>
              <w:ind w:left="122" w:right="0" w:firstLine="0"/>
              <w:jc w:val="left"/>
              <w:rPr>
                <w:sz w:val="22"/>
                <w:szCs w:val="20"/>
              </w:rPr>
            </w:pPr>
            <w:r w:rsidRPr="00A303BB">
              <w:rPr>
                <w:sz w:val="20"/>
                <w:szCs w:val="20"/>
              </w:rPr>
              <w:t xml:space="preserve">Aromas </w:t>
            </w:r>
          </w:p>
        </w:tc>
        <w:tc>
          <w:tcPr>
            <w:tcW w:w="4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CFB864" w14:textId="571DD205" w:rsidR="00B368F7" w:rsidRPr="00A303BB" w:rsidRDefault="00F8730B" w:rsidP="003F5C37">
            <w:pPr>
              <w:ind w:left="0" w:right="0" w:firstLine="0"/>
              <w:jc w:val="left"/>
              <w:rPr>
                <w:sz w:val="22"/>
                <w:szCs w:val="20"/>
              </w:rPr>
            </w:pPr>
            <w:r w:rsidRPr="00A303BB">
              <w:rPr>
                <w:sz w:val="20"/>
                <w:szCs w:val="20"/>
              </w:rPr>
              <w:t xml:space="preserve">Lifted aromas of </w:t>
            </w:r>
            <w:r w:rsidR="00A417C2" w:rsidRPr="00A303BB">
              <w:rPr>
                <w:sz w:val="20"/>
                <w:szCs w:val="20"/>
              </w:rPr>
              <w:t xml:space="preserve">candied </w:t>
            </w:r>
            <w:r w:rsidRPr="00A303BB">
              <w:rPr>
                <w:sz w:val="20"/>
                <w:szCs w:val="20"/>
              </w:rPr>
              <w:t>citrus and honey.</w:t>
            </w:r>
          </w:p>
        </w:tc>
      </w:tr>
      <w:tr w:rsidR="00B368F7" w:rsidRPr="00A303BB" w14:paraId="52414EA9" w14:textId="77777777" w:rsidTr="000E0AD1">
        <w:trPr>
          <w:trHeight w:val="987"/>
        </w:trPr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59AB02" w14:textId="77777777" w:rsidR="00B368F7" w:rsidRPr="00A303BB" w:rsidRDefault="00B368F7" w:rsidP="00B368F7">
            <w:pPr>
              <w:ind w:left="122" w:right="0" w:firstLine="0"/>
              <w:jc w:val="left"/>
              <w:rPr>
                <w:sz w:val="22"/>
                <w:szCs w:val="20"/>
              </w:rPr>
            </w:pPr>
            <w:r w:rsidRPr="00A303BB">
              <w:rPr>
                <w:sz w:val="20"/>
                <w:szCs w:val="20"/>
              </w:rPr>
              <w:t xml:space="preserve">Flavours </w:t>
            </w:r>
          </w:p>
        </w:tc>
        <w:tc>
          <w:tcPr>
            <w:tcW w:w="4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02609E" w14:textId="016126D7" w:rsidR="00B368F7" w:rsidRPr="00A303BB" w:rsidRDefault="00F8730B" w:rsidP="00FC6DE3">
            <w:pPr>
              <w:ind w:left="0" w:right="49" w:firstLine="0"/>
              <w:rPr>
                <w:sz w:val="22"/>
                <w:szCs w:val="20"/>
              </w:rPr>
            </w:pPr>
            <w:r w:rsidRPr="00A303BB">
              <w:rPr>
                <w:sz w:val="20"/>
                <w:szCs w:val="20"/>
              </w:rPr>
              <w:t xml:space="preserve">A deliciously </w:t>
            </w:r>
            <w:r w:rsidR="00A417C2" w:rsidRPr="00A303BB">
              <w:rPr>
                <w:sz w:val="20"/>
                <w:szCs w:val="20"/>
              </w:rPr>
              <w:t>full round mouthfeel</w:t>
            </w:r>
            <w:r w:rsidRPr="00A303BB">
              <w:rPr>
                <w:sz w:val="20"/>
                <w:szCs w:val="20"/>
              </w:rPr>
              <w:t xml:space="preserve"> with stonefruit and citrus giving way to a </w:t>
            </w:r>
            <w:r w:rsidR="00A417C2" w:rsidRPr="00A303BB">
              <w:rPr>
                <w:sz w:val="20"/>
                <w:szCs w:val="20"/>
              </w:rPr>
              <w:t>lingering finish</w:t>
            </w:r>
          </w:p>
        </w:tc>
      </w:tr>
      <w:tr w:rsidR="00B368F7" w:rsidRPr="00A303BB" w14:paraId="584F3178" w14:textId="77777777" w:rsidTr="00B368F7">
        <w:trPr>
          <w:trHeight w:val="1386"/>
        </w:trPr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738B41" w14:textId="77777777" w:rsidR="00B368F7" w:rsidRPr="00A303BB" w:rsidRDefault="00B368F7" w:rsidP="00B368F7">
            <w:pPr>
              <w:ind w:left="122" w:right="0" w:firstLine="0"/>
              <w:jc w:val="left"/>
              <w:rPr>
                <w:sz w:val="22"/>
                <w:szCs w:val="20"/>
              </w:rPr>
            </w:pPr>
            <w:r w:rsidRPr="00A303BB">
              <w:rPr>
                <w:sz w:val="20"/>
                <w:szCs w:val="20"/>
              </w:rPr>
              <w:t xml:space="preserve">Technical Details </w:t>
            </w:r>
          </w:p>
        </w:tc>
        <w:tc>
          <w:tcPr>
            <w:tcW w:w="4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943527" w14:textId="6DD5AD2C" w:rsidR="00F8730B" w:rsidRPr="00A303BB" w:rsidRDefault="00F8730B" w:rsidP="00F8730B">
            <w:pPr>
              <w:ind w:left="0" w:right="1728" w:firstLine="0"/>
              <w:jc w:val="left"/>
              <w:rPr>
                <w:sz w:val="20"/>
                <w:szCs w:val="20"/>
              </w:rPr>
            </w:pPr>
            <w:proofErr w:type="spellStart"/>
            <w:r w:rsidRPr="00A303BB">
              <w:rPr>
                <w:sz w:val="20"/>
                <w:szCs w:val="20"/>
              </w:rPr>
              <w:t>Alc</w:t>
            </w:r>
            <w:proofErr w:type="spellEnd"/>
            <w:r w:rsidRPr="00A303BB">
              <w:rPr>
                <w:sz w:val="20"/>
                <w:szCs w:val="20"/>
              </w:rPr>
              <w:t xml:space="preserve">/Vol                </w:t>
            </w:r>
            <w:r w:rsidR="00A417C2" w:rsidRPr="00A303BB">
              <w:rPr>
                <w:sz w:val="20"/>
                <w:szCs w:val="20"/>
              </w:rPr>
              <w:t>9.5</w:t>
            </w:r>
            <w:r w:rsidRPr="00A303BB">
              <w:rPr>
                <w:sz w:val="20"/>
                <w:szCs w:val="20"/>
              </w:rPr>
              <w:t xml:space="preserve">% </w:t>
            </w:r>
          </w:p>
          <w:p w14:paraId="4AC7F6C1" w14:textId="745BD9C3" w:rsidR="00F8730B" w:rsidRPr="00A303BB" w:rsidRDefault="00F8730B" w:rsidP="00F8730B">
            <w:pPr>
              <w:ind w:left="0" w:right="1728" w:firstLine="0"/>
              <w:jc w:val="left"/>
              <w:rPr>
                <w:sz w:val="20"/>
                <w:szCs w:val="20"/>
              </w:rPr>
            </w:pPr>
            <w:r w:rsidRPr="00A303BB">
              <w:rPr>
                <w:sz w:val="20"/>
                <w:szCs w:val="20"/>
              </w:rPr>
              <w:t>pH                       3.</w:t>
            </w:r>
            <w:r w:rsidR="00A417C2" w:rsidRPr="00A303BB">
              <w:rPr>
                <w:sz w:val="20"/>
                <w:szCs w:val="20"/>
              </w:rPr>
              <w:t>6</w:t>
            </w:r>
          </w:p>
          <w:p w14:paraId="74521EEE" w14:textId="5D57D75F" w:rsidR="00F8730B" w:rsidRPr="00A303BB" w:rsidRDefault="00F8730B" w:rsidP="00F8730B">
            <w:pPr>
              <w:ind w:left="0" w:right="1728" w:firstLine="0"/>
              <w:jc w:val="left"/>
              <w:rPr>
                <w:sz w:val="20"/>
                <w:szCs w:val="20"/>
              </w:rPr>
            </w:pPr>
            <w:r w:rsidRPr="00A303BB">
              <w:rPr>
                <w:sz w:val="20"/>
                <w:szCs w:val="20"/>
              </w:rPr>
              <w:t xml:space="preserve">Total Acidity         6.4 g/l </w:t>
            </w:r>
          </w:p>
          <w:p w14:paraId="439C2549" w14:textId="14CB3F62" w:rsidR="00B368F7" w:rsidRPr="00A303BB" w:rsidRDefault="00F8730B" w:rsidP="00F8730B">
            <w:pPr>
              <w:ind w:left="0" w:right="1728" w:firstLine="0"/>
              <w:jc w:val="left"/>
              <w:rPr>
                <w:sz w:val="22"/>
                <w:szCs w:val="20"/>
              </w:rPr>
            </w:pPr>
            <w:r w:rsidRPr="00A303BB">
              <w:rPr>
                <w:sz w:val="20"/>
                <w:szCs w:val="20"/>
              </w:rPr>
              <w:t xml:space="preserve">Residual Sugar      </w:t>
            </w:r>
            <w:r w:rsidR="00A417C2" w:rsidRPr="00A303BB">
              <w:rPr>
                <w:sz w:val="20"/>
                <w:szCs w:val="20"/>
              </w:rPr>
              <w:t>208</w:t>
            </w:r>
            <w:r w:rsidRPr="00A303BB">
              <w:rPr>
                <w:sz w:val="20"/>
                <w:szCs w:val="20"/>
              </w:rPr>
              <w:t xml:space="preserve"> g/l             Bottled                 </w:t>
            </w:r>
            <w:r w:rsidR="00A417C2" w:rsidRPr="00A303BB">
              <w:rPr>
                <w:sz w:val="20"/>
                <w:szCs w:val="20"/>
              </w:rPr>
              <w:t>September 2017</w:t>
            </w:r>
          </w:p>
        </w:tc>
      </w:tr>
      <w:tr w:rsidR="00B368F7" w:rsidRPr="00A303BB" w14:paraId="7F93E9B4" w14:textId="77777777" w:rsidTr="00B368F7">
        <w:trPr>
          <w:trHeight w:val="558"/>
        </w:trPr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299B29" w14:textId="77777777" w:rsidR="00B368F7" w:rsidRPr="00A303BB" w:rsidRDefault="00B368F7" w:rsidP="00B368F7">
            <w:pPr>
              <w:ind w:left="122" w:right="0" w:firstLine="0"/>
              <w:jc w:val="left"/>
              <w:rPr>
                <w:sz w:val="22"/>
                <w:szCs w:val="20"/>
              </w:rPr>
            </w:pPr>
            <w:r w:rsidRPr="00A303BB">
              <w:rPr>
                <w:sz w:val="20"/>
                <w:szCs w:val="20"/>
              </w:rPr>
              <w:t xml:space="preserve">Cellaring </w:t>
            </w:r>
          </w:p>
        </w:tc>
        <w:tc>
          <w:tcPr>
            <w:tcW w:w="4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327A8A" w14:textId="77777777" w:rsidR="00B368F7" w:rsidRPr="00A303BB" w:rsidRDefault="00B368F7" w:rsidP="00B368F7">
            <w:pPr>
              <w:ind w:left="0" w:right="51" w:firstLine="0"/>
              <w:rPr>
                <w:sz w:val="22"/>
                <w:szCs w:val="20"/>
              </w:rPr>
            </w:pPr>
            <w:r w:rsidRPr="00A303BB">
              <w:rPr>
                <w:sz w:val="20"/>
                <w:szCs w:val="20"/>
              </w:rPr>
              <w:t xml:space="preserve">The Nectar can be enjoyed on </w:t>
            </w:r>
            <w:proofErr w:type="gramStart"/>
            <w:r w:rsidRPr="00A303BB">
              <w:rPr>
                <w:sz w:val="20"/>
                <w:szCs w:val="20"/>
              </w:rPr>
              <w:t>release, but</w:t>
            </w:r>
            <w:proofErr w:type="gramEnd"/>
            <w:r w:rsidRPr="00A303BB">
              <w:rPr>
                <w:sz w:val="20"/>
                <w:szCs w:val="20"/>
              </w:rPr>
              <w:t xml:space="preserve"> will develop complexity with 3-5 years or more of careful cellaring. </w:t>
            </w:r>
          </w:p>
        </w:tc>
      </w:tr>
      <w:tr w:rsidR="00B368F7" w:rsidRPr="00A303BB" w14:paraId="5F2FD00B" w14:textId="77777777" w:rsidTr="00B368F7">
        <w:trPr>
          <w:trHeight w:val="837"/>
        </w:trPr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799BF8" w14:textId="77777777" w:rsidR="00B368F7" w:rsidRPr="00A303BB" w:rsidRDefault="00B368F7" w:rsidP="00B368F7">
            <w:pPr>
              <w:ind w:left="122" w:right="0" w:firstLine="0"/>
              <w:jc w:val="left"/>
              <w:rPr>
                <w:sz w:val="22"/>
                <w:szCs w:val="20"/>
              </w:rPr>
            </w:pPr>
            <w:r w:rsidRPr="00A303BB">
              <w:rPr>
                <w:sz w:val="20"/>
                <w:szCs w:val="20"/>
              </w:rPr>
              <w:t xml:space="preserve">Food Matching </w:t>
            </w:r>
          </w:p>
        </w:tc>
        <w:tc>
          <w:tcPr>
            <w:tcW w:w="4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61636B" w14:textId="1FF65E29" w:rsidR="00B368F7" w:rsidRPr="00A303BB" w:rsidRDefault="00A417C2" w:rsidP="00701D69">
            <w:pPr>
              <w:ind w:left="0" w:right="50" w:firstLine="0"/>
              <w:rPr>
                <w:sz w:val="22"/>
                <w:szCs w:val="20"/>
              </w:rPr>
            </w:pPr>
            <w:r w:rsidRPr="00A303BB">
              <w:rPr>
                <w:sz w:val="22"/>
                <w:szCs w:val="20"/>
              </w:rPr>
              <w:t>A thick, creamy trifle or rich chocolate fondant is sensational with a glass of The Nectar</w:t>
            </w:r>
          </w:p>
        </w:tc>
      </w:tr>
    </w:tbl>
    <w:p w14:paraId="484D1D79" w14:textId="77777777" w:rsidR="00B368F7" w:rsidRPr="00A303BB" w:rsidRDefault="00B368F7" w:rsidP="00B368F7">
      <w:pPr>
        <w:ind w:left="0" w:right="0" w:firstLine="0"/>
        <w:rPr>
          <w:sz w:val="22"/>
          <w:szCs w:val="20"/>
        </w:rPr>
      </w:pPr>
    </w:p>
    <w:p w14:paraId="51707EE0" w14:textId="77777777" w:rsidR="00C150F0" w:rsidRDefault="00C150F0">
      <w:pPr>
        <w:spacing w:before="7" w:line="259" w:lineRule="auto"/>
        <w:ind w:left="0" w:right="0" w:firstLine="0"/>
        <w:jc w:val="left"/>
      </w:pPr>
    </w:p>
    <w:sectPr w:rsidR="00C150F0" w:rsidSect="00B368F7">
      <w:pgSz w:w="12240" w:h="15840"/>
      <w:pgMar w:top="852" w:right="1440" w:bottom="567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pidary333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810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F0"/>
    <w:rsid w:val="000A781F"/>
    <w:rsid w:val="000E0AD1"/>
    <w:rsid w:val="003F5C37"/>
    <w:rsid w:val="00701D69"/>
    <w:rsid w:val="007C11BF"/>
    <w:rsid w:val="008B3FFB"/>
    <w:rsid w:val="00936D93"/>
    <w:rsid w:val="00A252C8"/>
    <w:rsid w:val="00A303BB"/>
    <w:rsid w:val="00A417C2"/>
    <w:rsid w:val="00B368F7"/>
    <w:rsid w:val="00C150F0"/>
    <w:rsid w:val="00C765F0"/>
    <w:rsid w:val="00E80976"/>
    <w:rsid w:val="00E96F36"/>
    <w:rsid w:val="00EA06B5"/>
    <w:rsid w:val="00F56F9D"/>
    <w:rsid w:val="00F83296"/>
    <w:rsid w:val="00F8730B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740B"/>
  <w15:docId w15:val="{7B3B2FAA-A2DD-4B70-B12E-12CD264B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10" w:right="3293" w:hanging="10"/>
      <w:jc w:val="both"/>
    </w:pPr>
    <w:rPr>
      <w:rFonts w:ascii="Lapidary333 BT" w:eastAsia="Lapidary333 BT" w:hAnsi="Lapidary333 BT" w:cs="Lapidary333 B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93"/>
    <w:rPr>
      <w:rFonts w:ascii="Tahoma" w:eastAsia="Lapidary333 BT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E80976"/>
  </w:style>
  <w:style w:type="character" w:styleId="Hyperlink">
    <w:name w:val="Hyperlink"/>
    <w:basedOn w:val="DefaultParagraphFont"/>
    <w:uiPriority w:val="99"/>
    <w:semiHidden/>
    <w:unhideWhenUsed/>
    <w:rsid w:val="00E80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Longevity_(wine)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Ripeness_(wine)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A1B1BEB4A084984CC43E572084CB0" ma:contentTypeVersion="16" ma:contentTypeDescription="Create a new document." ma:contentTypeScope="" ma:versionID="566eeff1770bad35213b3b9805fb79b2">
  <xsd:schema xmlns:xsd="http://www.w3.org/2001/XMLSchema" xmlns:xs="http://www.w3.org/2001/XMLSchema" xmlns:p="http://schemas.microsoft.com/office/2006/metadata/properties" xmlns:ns1="http://schemas.microsoft.com/sharepoint/v3" xmlns:ns2="52f97828-265f-471b-9ead-d733d94fd40c" xmlns:ns3="8a1a6067-1e96-4e8f-a90e-4be3c3b5902d" targetNamespace="http://schemas.microsoft.com/office/2006/metadata/properties" ma:root="true" ma:fieldsID="ae60df5b59cc2ce7e5879cec2ec7c9bb" ns1:_="" ns2:_="" ns3:_="">
    <xsd:import namespace="http://schemas.microsoft.com/sharepoint/v3"/>
    <xsd:import namespace="52f97828-265f-471b-9ead-d733d94fd40c"/>
    <xsd:import namespace="8a1a6067-1e96-4e8f-a90e-4be3c3b59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Person_x0020_Or_x0020_Group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97828-265f-471b-9ead-d733d94fd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erson_x0020_Or_x0020_Group" ma:index="13" nillable="true" ma:displayName="Person Or Group" ma:list="UserInfo" ma:SharePointGroup="0" ma:internalName="Person_x0020_Or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a6067-1e96-4e8f-a90e-4be3c3b59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_x0020_Or_x0020_Group xmlns="52f97828-265f-471b-9ead-d733d94fd40c">
      <UserInfo>
        <DisplayName/>
        <AccountId xsi:nil="true"/>
        <AccountType/>
      </UserInfo>
    </Person_x0020_Or_x0020_Group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001D6F-1E03-425C-B132-6D3A8040AE06}"/>
</file>

<file path=customXml/itemProps2.xml><?xml version="1.0" encoding="utf-8"?>
<ds:datastoreItem xmlns:ds="http://schemas.openxmlformats.org/officeDocument/2006/customXml" ds:itemID="{ED197230-2BE2-4AD2-B346-690267192184}"/>
</file>

<file path=customXml/itemProps3.xml><?xml version="1.0" encoding="utf-8"?>
<ds:datastoreItem xmlns:ds="http://schemas.openxmlformats.org/officeDocument/2006/customXml" ds:itemID="{A09DC9BB-133F-41AD-93F5-DAF4CAC0A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Hollick</dc:creator>
  <cp:lastModifiedBy>Ella Hurst</cp:lastModifiedBy>
  <cp:revision>2</cp:revision>
  <cp:lastPrinted>2015-10-30T01:08:00Z</cp:lastPrinted>
  <dcterms:created xsi:type="dcterms:W3CDTF">2021-08-24T03:38:00Z</dcterms:created>
  <dcterms:modified xsi:type="dcterms:W3CDTF">2021-08-24T03:38:00Z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247600</vt:r8>
  </property>
  <property fmtid="{D5CDD505-2E9C-101B-9397-08002B2CF9AE}" pid="3" name="ContentTypeId">
    <vt:lpwstr>0x01010034FA1B1BEB4A084984CC43E572084CB0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